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BF" w:rsidRPr="00F91CCD" w:rsidRDefault="00F91CCD" w:rsidP="00695ABF">
      <w:pPr>
        <w:pStyle w:val="NoSpacing"/>
        <w:rPr>
          <w:rFonts w:ascii="GHEA Grapalat" w:eastAsia="GHEA Grapalat" w:hAnsi="GHEA Grapalat"/>
        </w:rPr>
      </w:pPr>
      <w:r>
        <w:rPr>
          <w:rFonts w:ascii="GHEA Grapalat" w:eastAsia="GHEA Grapalat" w:hAnsi="GHEA Grapalat"/>
        </w:rPr>
        <w:t xml:space="preserve">  </w:t>
      </w:r>
    </w:p>
    <w:p w:rsidR="00743744" w:rsidRPr="00257F2D" w:rsidRDefault="00743744" w:rsidP="00743744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257F2D">
        <w:rPr>
          <w:rFonts w:ascii="GHEA Grapalat" w:hAnsi="GHEA Grapalat" w:cs="Sylfaen"/>
          <w:b/>
          <w:i/>
          <w:sz w:val="18"/>
          <w:szCs w:val="18"/>
          <w:lang w:val="hy-AM"/>
        </w:rPr>
        <w:t>Հավելված N</w:t>
      </w:r>
      <w:r w:rsidR="00102063" w:rsidRPr="00257F2D">
        <w:rPr>
          <w:rFonts w:ascii="GHEA Grapalat" w:hAnsi="GHEA Grapalat" w:cs="Sylfaen"/>
          <w:b/>
          <w:i/>
          <w:sz w:val="18"/>
          <w:szCs w:val="18"/>
          <w:lang w:val="hy-AM"/>
        </w:rPr>
        <w:t>26</w:t>
      </w:r>
      <w:r w:rsidRPr="00257F2D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:rsidR="00257F2D" w:rsidRDefault="00257F2D" w:rsidP="00257F2D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8D6DAC"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 w:rsidRPr="008D6DAC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</w:t>
      </w:r>
      <w:r w:rsidRPr="00C418CB">
        <w:rPr>
          <w:rFonts w:ascii="GHEA Grapalat" w:hAnsi="GHEA Grapalat" w:cs="Sylfaen"/>
          <w:b/>
          <w:i/>
          <w:sz w:val="18"/>
          <w:szCs w:val="18"/>
          <w:lang w:val="hy-AM"/>
        </w:rPr>
        <w:t>շուկայի վերահսկողության</w:t>
      </w:r>
      <w:r w:rsidRPr="008D6DAC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:rsidR="00257F2D" w:rsidRDefault="00257F2D" w:rsidP="00257F2D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8D6DAC">
        <w:rPr>
          <w:rFonts w:ascii="GHEA Grapalat" w:hAnsi="GHEA Grapalat" w:cs="Sylfaen"/>
          <w:b/>
          <w:i/>
          <w:sz w:val="18"/>
          <w:szCs w:val="18"/>
          <w:lang w:val="hy-AM"/>
        </w:rPr>
        <w:t>տեսչական մարմնի</w:t>
      </w:r>
      <w:r w:rsidRPr="00C418CB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  <w:r w:rsidRPr="008D6DAC">
        <w:rPr>
          <w:rFonts w:ascii="GHEA Grapalat" w:hAnsi="GHEA Grapalat" w:cs="Sylfaen"/>
          <w:b/>
          <w:i/>
          <w:sz w:val="18"/>
          <w:szCs w:val="18"/>
          <w:lang w:val="hy-AM"/>
        </w:rPr>
        <w:t>ղեկավարի</w:t>
      </w:r>
    </w:p>
    <w:p w:rsidR="00257F2D" w:rsidRDefault="00257F2D" w:rsidP="00257F2D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2020թ. հուլիսի 7-ի  N  98-Ա հրամանով</w:t>
      </w:r>
    </w:p>
    <w:p w:rsidR="00695ABF" w:rsidRPr="003C6582" w:rsidRDefault="00695ABF" w:rsidP="00695ABF">
      <w:pPr>
        <w:spacing w:after="0" w:line="240" w:lineRule="auto"/>
        <w:jc w:val="right"/>
        <w:rPr>
          <w:rFonts w:ascii="GHEA Grapalat" w:eastAsia="GHEA Grapalat" w:hAnsi="GHEA Grapalat" w:cs="GHEA Grapalat"/>
          <w:lang w:val="hy-AM"/>
        </w:rPr>
      </w:pPr>
    </w:p>
    <w:p w:rsidR="00695ABF" w:rsidRPr="003C6582" w:rsidRDefault="00695ABF" w:rsidP="004C7ECD">
      <w:pPr>
        <w:spacing w:after="160" w:line="259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3C6582">
        <w:rPr>
          <w:rFonts w:ascii="GHEA Grapalat" w:eastAsia="Sylfaen" w:hAnsi="GHEA Grapalat" w:cs="Sylfaen"/>
          <w:b/>
          <w:sz w:val="24"/>
          <w:szCs w:val="24"/>
          <w:lang w:val="hy-AM"/>
        </w:rPr>
        <w:t>ՔԱՂԱՔԱՑԻԱԿԱՆ</w:t>
      </w:r>
      <w:r w:rsidRPr="003C658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3C6582">
        <w:rPr>
          <w:rFonts w:ascii="GHEA Grapalat" w:eastAsia="Sylfaen" w:hAnsi="GHEA Grapalat" w:cs="Sylfaen"/>
          <w:b/>
          <w:sz w:val="24"/>
          <w:szCs w:val="24"/>
          <w:lang w:val="hy-AM"/>
        </w:rPr>
        <w:t>ԾԱՌԱՅՈՒԹՅԱՆ</w:t>
      </w:r>
      <w:r w:rsidRPr="003C658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3C6582">
        <w:rPr>
          <w:rFonts w:ascii="GHEA Grapalat" w:eastAsia="Sylfaen" w:hAnsi="GHEA Grapalat" w:cs="Sylfaen"/>
          <w:b/>
          <w:sz w:val="24"/>
          <w:szCs w:val="24"/>
          <w:lang w:val="hy-AM"/>
        </w:rPr>
        <w:t>ՊԱՇՏՈՆԻ</w:t>
      </w:r>
      <w:r w:rsidRPr="003C658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3C6582">
        <w:rPr>
          <w:rFonts w:ascii="GHEA Grapalat" w:eastAsia="Sylfaen" w:hAnsi="GHEA Grapalat" w:cs="Sylfaen"/>
          <w:b/>
          <w:sz w:val="24"/>
          <w:szCs w:val="24"/>
          <w:lang w:val="hy-AM"/>
        </w:rPr>
        <w:t>ԱՆՁՆԱԳԻՐ</w:t>
      </w:r>
    </w:p>
    <w:p w:rsidR="00695ABF" w:rsidRPr="003C6582" w:rsidRDefault="00743744" w:rsidP="00695ABF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3C658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ՇՈՒԿԱՅԻ ՎԵՐԱՀՍԿՈՂՈՒԹՅԱՆ ՏԵՍՉԱԿԱՆ ՄԱՐՄՆԻ </w:t>
      </w:r>
      <w:r w:rsidR="00CC6A0A" w:rsidRPr="003C658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ԻՐԱՎԱԿԱՆ ԱՋԱԿՑՈՒԹՅԱՆ ԵՎ ՓԱՍՏԱԹՂԹԱՇՐՋԱՆԱՌՈՒԹՅԱՆ</w:t>
      </w:r>
      <w:r w:rsidRPr="003C658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ՎԱՐՉՈՒԹՅԱՆ</w:t>
      </w:r>
      <w:r w:rsidRPr="003C6582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695ABF" w:rsidRPr="003C6582">
        <w:rPr>
          <w:rFonts w:ascii="GHEA Grapalat" w:eastAsia="Sylfaen" w:hAnsi="GHEA Grapalat" w:cs="Sylfaen"/>
          <w:b/>
          <w:sz w:val="24"/>
          <w:szCs w:val="24"/>
          <w:lang w:val="hy-AM"/>
        </w:rPr>
        <w:t>ԳԼԽԱՎՈՐ</w:t>
      </w:r>
      <w:r w:rsidR="00695ABF" w:rsidRPr="003C658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F62B4" w:rsidRPr="003C6582">
        <w:rPr>
          <w:rFonts w:ascii="GHEA Grapalat" w:eastAsia="Sylfaen" w:hAnsi="GHEA Grapalat" w:cs="Sylfaen"/>
          <w:b/>
          <w:sz w:val="24"/>
          <w:szCs w:val="24"/>
          <w:lang w:val="hy-AM"/>
        </w:rPr>
        <w:t>ԻՐԱՎԱԲԱՆ</w:t>
      </w:r>
    </w:p>
    <w:p w:rsidR="00695ABF" w:rsidRPr="003C6582" w:rsidRDefault="00695ABF" w:rsidP="00695ABF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D0D0D"/>
          <w:sz w:val="24"/>
          <w:szCs w:val="24"/>
          <w:lang w:val="hy-AM"/>
        </w:rPr>
      </w:pPr>
    </w:p>
    <w:tbl>
      <w:tblPr>
        <w:tblW w:w="9347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1"/>
      </w:tblGrid>
      <w:tr w:rsidR="00695ABF" w:rsidRPr="003C6582" w:rsidTr="007462F6">
        <w:trPr>
          <w:trHeight w:val="1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3C6582" w:rsidRDefault="00695ABF" w:rsidP="00AA0558">
            <w:pPr>
              <w:spacing w:after="0" w:line="360" w:lineRule="auto"/>
              <w:ind w:left="10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</w:t>
            </w:r>
            <w:r w:rsidRPr="003C6582">
              <w:rPr>
                <w:rFonts w:ascii="Cambria Math" w:eastAsia="MS Mincho" w:hAnsi="Cambria Math" w:cs="Cambria Math"/>
                <w:b/>
                <w:sz w:val="24"/>
                <w:szCs w:val="24"/>
              </w:rPr>
              <w:t>․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Ընդհանուր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695ABF" w:rsidRPr="003C6582" w:rsidTr="007462F6">
        <w:trPr>
          <w:trHeight w:val="1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3C6582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1.1.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ծածկագիրը</w:t>
            </w:r>
            <w:proofErr w:type="spellEnd"/>
          </w:p>
          <w:p w:rsidR="00695ABF" w:rsidRPr="003C6582" w:rsidRDefault="00743744" w:rsidP="00CF1585">
            <w:pPr>
              <w:spacing w:after="0" w:line="259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sz w:val="24"/>
                <w:lang w:val="hy-AM"/>
              </w:rPr>
              <w:t xml:space="preserve">Շուկայի վերահսկողության տեսչական մարմնի (այսուհետ՝ Տեսչական մարմին) </w:t>
            </w:r>
            <w:r w:rsidR="009B3873"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իրավական աջակցության և փաստաթղթաշրջանառության</w:t>
            </w:r>
            <w:r w:rsidR="009B3873" w:rsidRPr="003C6582">
              <w:rPr>
                <w:rFonts w:ascii="GHEA Grapalat" w:eastAsia="Sylfaen" w:hAnsi="GHEA Grapalat" w:cs="Sylfaen"/>
                <w:sz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Pr="003C6582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 xml:space="preserve"> </w:t>
            </w:r>
            <w:r w:rsidR="00695ABF" w:rsidRPr="003C6582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>(այսուհետ</w:t>
            </w:r>
            <w:r w:rsidR="001F14A7" w:rsidRPr="003C6582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 xml:space="preserve">՝ Վարչություն) գլխավոր </w:t>
            </w:r>
            <w:r w:rsidR="005A27C4" w:rsidRPr="003C6582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>իրավաբան</w:t>
            </w:r>
            <w:r w:rsidR="00695ABF" w:rsidRPr="003C6582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 xml:space="preserve"> </w:t>
            </w:r>
            <w:r w:rsidR="00695ABF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(</w:t>
            </w:r>
            <w:proofErr w:type="spellStart"/>
            <w:r w:rsidR="00695ABF" w:rsidRPr="003C6582">
              <w:rPr>
                <w:rFonts w:ascii="GHEA Grapalat" w:eastAsia="Sylfaen" w:hAnsi="GHEA Grapalat" w:cs="Sylfaen"/>
                <w:sz w:val="24"/>
                <w:szCs w:val="24"/>
              </w:rPr>
              <w:t>ծածկագիրը</w:t>
            </w:r>
            <w:proofErr w:type="spellEnd"/>
            <w:r w:rsidR="00695ABF" w:rsidRPr="003C6582">
              <w:rPr>
                <w:rFonts w:ascii="GHEA Grapalat" w:eastAsia="Sylfaen" w:hAnsi="GHEA Grapalat" w:cs="Sylfaen"/>
                <w:sz w:val="24"/>
                <w:szCs w:val="24"/>
              </w:rPr>
              <w:t xml:space="preserve">՝ 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69-27.</w:t>
            </w:r>
            <w:r w:rsidR="00CC6A0A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-Մ</w:t>
            </w:r>
            <w:r w:rsidR="007C094F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2-</w:t>
            </w:r>
            <w:r w:rsidR="005629C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3</w:t>
            </w:r>
            <w:r w:rsidR="00695ABF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)</w:t>
            </w:r>
          </w:p>
          <w:p w:rsidR="00695ABF" w:rsidRPr="003C6582" w:rsidRDefault="00695ABF" w:rsidP="00AA0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1.2.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և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է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:rsidR="00695ABF" w:rsidRPr="003C6582" w:rsidRDefault="00695ABF" w:rsidP="00AA0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Գլխավոր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5A27C4"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իրավաբան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ը</w:t>
            </w:r>
            <w:r w:rsidR="00CF1585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E4696F"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անմիջական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ենթակա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հաշվետու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է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Վարչության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պետին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  <w:p w:rsidR="00695ABF" w:rsidRPr="003C6582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1.3.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Փոխարինող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կամ</w:t>
            </w:r>
            <w:proofErr w:type="spellEnd"/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պաշտոնների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անվանումները</w:t>
            </w:r>
            <w:proofErr w:type="spellEnd"/>
          </w:p>
          <w:p w:rsidR="00946EFF" w:rsidRPr="003C6582" w:rsidRDefault="00695ABF" w:rsidP="00AA0558">
            <w:pPr>
              <w:spacing w:after="0" w:line="259" w:lineRule="auto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Գլխավոր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5A27C4"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իրավաբան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բացակայության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դեպքում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նրան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փոխարինում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է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Վարչության</w:t>
            </w:r>
            <w:proofErr w:type="spellEnd"/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9B3873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մյուս</w:t>
            </w:r>
            <w:proofErr w:type="spellEnd"/>
            <w:r w:rsidR="009B3873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9B3873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>գլխավոր</w:t>
            </w:r>
            <w:proofErr w:type="spellEnd"/>
            <w:r w:rsidR="009B3873"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5A27C4"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իրավաբան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ը</w:t>
            </w:r>
            <w:r w:rsidR="00946EFF" w:rsidRPr="003C6582">
              <w:rPr>
                <w:rFonts w:ascii="GHEA Grapalat" w:eastAsia="Sylfaen" w:hAnsi="GHEA Grapalat" w:cs="Sylfaen"/>
                <w:sz w:val="24"/>
                <w:szCs w:val="24"/>
              </w:rPr>
              <w:t>:</w:t>
            </w:r>
          </w:p>
          <w:p w:rsidR="00695ABF" w:rsidRPr="003C6582" w:rsidRDefault="00695ABF" w:rsidP="00946EFF">
            <w:pPr>
              <w:spacing w:after="0" w:line="259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3C658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1.4.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Աշխատավայրը</w:t>
            </w:r>
            <w:proofErr w:type="spellEnd"/>
          </w:p>
          <w:p w:rsidR="00695ABF" w:rsidRPr="003C6582" w:rsidRDefault="00946EFF" w:rsidP="00B71B01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3C6582">
              <w:rPr>
                <w:rFonts w:ascii="GHEA Grapalat" w:hAnsi="GHEA Grapalat" w:cs="Arial"/>
                <w:sz w:val="24"/>
                <w:szCs w:val="24"/>
              </w:rPr>
              <w:t>Հայաստան</w:t>
            </w:r>
            <w:proofErr w:type="spellEnd"/>
            <w:r w:rsidRPr="003C6582">
              <w:rPr>
                <w:rFonts w:ascii="GHEA Grapalat" w:hAnsi="GHEA Grapalat" w:cs="Arial"/>
                <w:sz w:val="24"/>
                <w:szCs w:val="24"/>
              </w:rPr>
              <w:t>,</w:t>
            </w:r>
            <w:r w:rsidRPr="003C6582">
              <w:rPr>
                <w:rFonts w:ascii="GHEA Grapalat" w:hAnsi="GHEA Grapalat" w:cs="Arial"/>
                <w:i/>
                <w:sz w:val="24"/>
                <w:szCs w:val="24"/>
              </w:rPr>
              <w:t xml:space="preserve"> </w:t>
            </w:r>
            <w:r w:rsidRPr="003C6582">
              <w:rPr>
                <w:rFonts w:ascii="GHEA Grapalat" w:hAnsi="GHEA Grapalat" w:cs="Arial"/>
                <w:sz w:val="24"/>
                <w:szCs w:val="24"/>
              </w:rPr>
              <w:t xml:space="preserve">ք. </w:t>
            </w:r>
            <w:proofErr w:type="spellStart"/>
            <w:r w:rsidRPr="003C6582">
              <w:rPr>
                <w:rFonts w:ascii="GHEA Grapalat" w:hAnsi="GHEA Grapalat" w:cs="Arial"/>
                <w:sz w:val="24"/>
                <w:szCs w:val="24"/>
              </w:rPr>
              <w:t>Երևան</w:t>
            </w:r>
            <w:proofErr w:type="spellEnd"/>
            <w:r w:rsidRPr="003C658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3C6582">
              <w:rPr>
                <w:rFonts w:ascii="GHEA Grapalat" w:hAnsi="GHEA Grapalat" w:cs="Arial"/>
                <w:sz w:val="24"/>
                <w:szCs w:val="24"/>
              </w:rPr>
              <w:t>Արաբկիր</w:t>
            </w:r>
            <w:proofErr w:type="spellEnd"/>
            <w:r w:rsidRPr="003C6582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hAnsi="GHEA Grapalat" w:cs="Arial"/>
                <w:sz w:val="24"/>
                <w:szCs w:val="24"/>
              </w:rPr>
              <w:t>վարչական</w:t>
            </w:r>
            <w:proofErr w:type="spellEnd"/>
            <w:r w:rsidRPr="003C6582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hAnsi="GHEA Grapalat" w:cs="Arial"/>
                <w:sz w:val="24"/>
                <w:szCs w:val="24"/>
              </w:rPr>
              <w:t>շրջան</w:t>
            </w:r>
            <w:proofErr w:type="spellEnd"/>
            <w:r w:rsidRPr="003C658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3C6582">
              <w:rPr>
                <w:rFonts w:ascii="GHEA Grapalat" w:hAnsi="GHEA Grapalat" w:cs="Arial"/>
                <w:sz w:val="24"/>
                <w:szCs w:val="24"/>
              </w:rPr>
              <w:t>Կոմիտասի</w:t>
            </w:r>
            <w:proofErr w:type="spellEnd"/>
            <w:r w:rsidRPr="003C6582">
              <w:rPr>
                <w:rFonts w:ascii="GHEA Grapalat" w:hAnsi="GHEA Grapalat" w:cs="Arial"/>
                <w:sz w:val="24"/>
                <w:szCs w:val="24"/>
              </w:rPr>
              <w:t xml:space="preserve"> 49/2</w:t>
            </w:r>
            <w:r w:rsidRPr="003C6582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946EFF" w:rsidRPr="003C6582" w:rsidRDefault="00946EFF" w:rsidP="00946EFF">
            <w:pPr>
              <w:pStyle w:val="ListParagraph"/>
              <w:spacing w:after="0" w:line="240" w:lineRule="auto"/>
              <w:ind w:left="360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695ABF" w:rsidRPr="00F63D98" w:rsidTr="007462F6">
        <w:trPr>
          <w:trHeight w:val="1340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3C6582" w:rsidRDefault="00695ABF" w:rsidP="00AA0558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2.Պաշտոնի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բնութագիրը</w:t>
            </w:r>
            <w:proofErr w:type="spellEnd"/>
          </w:p>
          <w:p w:rsidR="00695ABF" w:rsidRPr="003C6582" w:rsidRDefault="00695ABF" w:rsidP="00AA0558">
            <w:pPr>
              <w:spacing w:after="0" w:line="240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2.1.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իրավունքները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պարտականությունները</w:t>
            </w:r>
            <w:proofErr w:type="spellEnd"/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iCs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Տեսչական մարմնի ստորաբաժանումների կողմից մշակված, այլ մարմիններից ստացված իրավական ակտերի նախագծերի իրավական </w:t>
            </w: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փորձաքննության իրականացումը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և դրա հիման վրա առաջարկությունների տրամադրման աշխատանքներ.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պաշտոնական պարզաբանումների նախագծերի վերաբերյալ եզրակացությունների տրամադրման աշխատանքներ</w:t>
            </w: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ստուգման ակտերի նախագծերի վերաբերյալ առաջարկության ներկայացման աշխատանքներ</w:t>
            </w: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և ֆիզիկական անձանց կողմից ներկայացված դիմումներում բարձրացված հարցերի ուսումնասիրություն և դրա հիման վրա պատասխանատու ստորաբաժանումներին համապատասխան առաջարկությունների ներկայացման աշխատանքներ</w:t>
            </w: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Տեսչական մարմնի ստորաբաժանումներին իրավական օժանդակության և խորհրդատվության տրամադրման աշխատանքներ</w:t>
            </w: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lastRenderedPageBreak/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</w:t>
            </w: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Նախագահի, Ազգային ժողովի, կառավարության </w:t>
            </w:r>
            <w:proofErr w:type="spellStart"/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աշխատակազմերից</w:t>
            </w:r>
            <w:proofErr w:type="spellEnd"/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ստացված հանձնարարականների, նախարարություններից և այլ գերատեսչություններից, ընկերություններից ստացված </w:t>
            </w:r>
            <w:r w:rsidRPr="003C6582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փաստաթղթերի, տեսչական մարմնի կառավարման խորհրդի /այսուհետ՝ խորհուրդ/ որոշումների կատարման հսկողություն.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>իրականացնում է տեսչական մարմնի ստուգումների՝ օրենսդրությանը համապատասխանության նկատմամբ  ապահովման աշխատանքներ.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 xml:space="preserve">իրականացնում է տեսչական մարմնի կողմից արձակված </w:t>
            </w:r>
            <w:proofErr w:type="spellStart"/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>կարգադրագրի</w:t>
            </w:r>
            <w:proofErr w:type="spellEnd"/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 xml:space="preserve"> պահանջները չկատարելու դեպքում տնտեսվարող սուբյեկտների ներկայացուցչի նկատմամբ վարչական վարույթի հարուցման որոշման նախագծի մշակման աշխատանքներ.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 xml:space="preserve">իրականացնում է հարուցված վարչական </w:t>
            </w:r>
            <w:proofErr w:type="spellStart"/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>վարույթների</w:t>
            </w:r>
            <w:proofErr w:type="spellEnd"/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 xml:space="preserve"> նյութերում փաստաթղթերի հավաքագրման աշխատանքներ.</w:t>
            </w:r>
          </w:p>
          <w:p w:rsidR="006E4BF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>իրականացնում է ստուգումների արդյունքում կազմված նյութերի ամբողջականության պահպանման նկատմամբ հսկողական աշխատանքներ.</w:t>
            </w:r>
          </w:p>
          <w:p w:rsidR="006D4356" w:rsidRPr="003C6582" w:rsidRDefault="006E4BF6" w:rsidP="006E4BF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 w:cs="Arial"/>
                <w:bCs/>
                <w:kern w:val="32"/>
                <w:sz w:val="24"/>
                <w:szCs w:val="24"/>
                <w:lang w:val="hy-AM"/>
              </w:rPr>
              <w:t xml:space="preserve">իրականացնում է </w:t>
            </w:r>
            <w:r w:rsidRPr="003C658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ֆիզիկական և իրավաբանական անձանց տրված լիցենզիաներն ուժը կորցրած ճանաչելու կամ դրանց գործողությունը կասեցնելու միջնորդագրերի նախագծերի մշակման աշխատանքներ</w:t>
            </w:r>
            <w:r w:rsidRPr="003C6582">
              <w:rPr>
                <w:rFonts w:ascii="GHEA Grapalat" w:hAnsi="GHEA Grapalat" w:cs="IRTEK Courier"/>
                <w:sz w:val="24"/>
                <w:szCs w:val="24"/>
                <w:lang w:val="hy-AM"/>
              </w:rPr>
              <w:t>:</w:t>
            </w:r>
          </w:p>
          <w:p w:rsidR="006414C6" w:rsidRPr="003C6582" w:rsidRDefault="00695ABF" w:rsidP="009B3873">
            <w:pPr>
              <w:spacing w:after="0" w:line="240" w:lineRule="auto"/>
              <w:ind w:right="11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Calibri" w:hAnsi="GHEA Grapalat" w:cs="Calibri"/>
                <w:b/>
                <w:sz w:val="24"/>
                <w:szCs w:val="24"/>
                <w:lang w:val="hy-AM"/>
              </w:rPr>
              <w:t>Ի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րավունքները՝</w:t>
            </w:r>
          </w:p>
          <w:p w:rsidR="007462F6" w:rsidRPr="003C6582" w:rsidRDefault="007462F6" w:rsidP="00AA0558">
            <w:pPr>
              <w:spacing w:after="0" w:line="240" w:lineRule="auto"/>
              <w:ind w:right="11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</w:p>
          <w:p w:rsidR="006E4BF6" w:rsidRPr="003C6582" w:rsidRDefault="006E4BF6" w:rsidP="003C6582">
            <w:pPr>
              <w:pStyle w:val="BodyText"/>
              <w:numPr>
                <w:ilvl w:val="0"/>
                <w:numId w:val="21"/>
              </w:numPr>
              <w:tabs>
                <w:tab w:val="left" w:pos="0"/>
                <w:tab w:val="left" w:pos="330"/>
              </w:tabs>
              <w:spacing w:after="0" w:line="276" w:lineRule="auto"/>
              <w:jc w:val="both"/>
              <w:rPr>
                <w:rFonts w:ascii="GHEA Grapalat" w:eastAsia="Times New Roman" w:hAnsi="GHEA Grapalat" w:cs="Times Armenian"/>
                <w:iCs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ներկայացնել առաջարկություններ տեսչական մարմնի ստորաբաժանումների կողմից մշակված, այլ մարմիններից ստացված իրավական ակտերի նախագծերի վերաբերյալ. </w:t>
            </w:r>
          </w:p>
          <w:p w:rsidR="006E4BF6" w:rsidRPr="003C6582" w:rsidRDefault="006E4BF6" w:rsidP="006E4BF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Ուսումնասիրել տեսչական մարմնի իրավասությանը վերապահված ոլորտների առանձին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իրավակարգավորումների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վերաբերյալ միջազգային փորձը և դրա հիմա վրա օրենսդրությունում առկա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բացերի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թերությունների վերացման և օրենսդրության կատարելագործման վերաբերյալ ներկայացնել առաջարկություններ.</w:t>
            </w:r>
          </w:p>
          <w:p w:rsidR="006E4BF6" w:rsidRPr="003C6582" w:rsidRDefault="006E4BF6" w:rsidP="006E4BF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պահանջել Տեսչական մարմնի մյուս ստորաբաժանումներից ներկայացնել խորհրդի նիստերի վերաբերյալ անհրաժեշտ նյութերը.</w:t>
            </w:r>
          </w:p>
          <w:p w:rsidR="006E4BF6" w:rsidRPr="003C6582" w:rsidRDefault="006E4BF6" w:rsidP="006E4BF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պահանջել Վարչության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առջև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դրված գործառույթների և խնդիրների իրականացման հետ կապված անհրաժեշտ տեղեկատվություն և նյութեր.</w:t>
            </w:r>
          </w:p>
          <w:p w:rsidR="006E4BF6" w:rsidRPr="003C6582" w:rsidRDefault="006E4BF6" w:rsidP="006E4BF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հարուցված վարչական վարույթի շրջանակներում տնտեսվարող սուբյեկտների ներկայացուցիչներից վերցնել բացատրություններ, պահանջել ներկայացնել անհրաժեշտ փաստաթղթեր.</w:t>
            </w:r>
          </w:p>
          <w:p w:rsidR="00305581" w:rsidRPr="003C6582" w:rsidRDefault="006E4BF6" w:rsidP="006E4BF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խորհրդատվություն տրամադրել տեսչական մարմնի մյուս ստորաբաժանումների ծառայողներին իրավական հարցերի վերաբերյալ</w:t>
            </w:r>
            <w:r w:rsidRPr="003C6582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:</w:t>
            </w:r>
            <w:r w:rsidR="009B3873" w:rsidRPr="003C6582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9B3873" w:rsidRPr="003C6582" w:rsidRDefault="009B3873" w:rsidP="002E13FC">
            <w:pPr>
              <w:shd w:val="clear" w:color="auto" w:fill="FFFFFF"/>
              <w:ind w:firstLine="225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:rsidR="00305581" w:rsidRPr="003C6582" w:rsidRDefault="00305581" w:rsidP="00FE7C91">
            <w:pPr>
              <w:pStyle w:val="ListParagraph"/>
              <w:shd w:val="clear" w:color="auto" w:fill="FFFFFF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Պարտականությունները՝</w:t>
            </w:r>
          </w:p>
          <w:p w:rsidR="006E4BF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տալ կարծիք ստուգման հրամանների, ակտերի և տեսչական մարմնի ծառայողների կողմից կազմված այլ փաստաթղթերի իրավական բովանդակության վերաբերյալ.</w:t>
            </w:r>
          </w:p>
          <w:p w:rsidR="006E4BF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ուսումնասիրել վարչություն հասցեագրված դիմում-բողոքները և Հայաստանի Հանրապետության օրենսդրությամբ սահմանված կարգով և դեպքերում վարչական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վարույթների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կազմակերպված վարչական լսումների ընթացքում ներկայացնել մասնագիտական եզրակացություն առկա խնդրի վերաբերյալ, ինչպես նաև տեսչական մարմին դիմած քաղաքացիներին տրամադրել իրավաբանական խորհրդատվություն.</w:t>
            </w:r>
          </w:p>
          <w:p w:rsidR="006E4BF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տեսչական մարմնի իրավասությանը վերապահված ոլորտները կարգավորող իրավական ակտերի դրույթների կիրառման վերաբերյալ տալ պարզաբանումներ.</w:t>
            </w:r>
          </w:p>
          <w:p w:rsidR="006E4BF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հետևել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տեսչական մարմնի գործունեությանն առնչվող պայմանագրերի, համաձայնագրերի, լիազորագրերի, հանձնարարականների և այլ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փաստաթղթղերի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նախագծերի մշակման աշխատանքներին, օրենսդրության պահանջների խախտումներ հայտնաբերելու դեպքում ներկայացնել համապատասխան առաջարկություններ՝ խախտումները վերացնելու վերաբերյալ.</w:t>
            </w:r>
          </w:p>
          <w:p w:rsidR="006E4BF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ուսումնասիրել ոչ պարենային արտադրանքի ոլորտում (խաղալիք,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թեթև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արդյունաբերություն, բենզին, դիզել, հեղուկ գազ, ցեմենտ, ամրան, օծանելիք, կոսմետիկա, լվացող և մաքրող միջոցներ, կենցաղային և սանիտարահիգիենիկ ապրանքներ, ցածրավոլտ և 1000 Վ-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ից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բարձր լարման սարքավորումներ,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ռադիոսարքավորումներ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քսանյութեր, յուղեր, լաքեր, ներկեր, ապակիներ, կահույք, ամանեղեն և այլն), թանկարժեք մետաղների ոլորտում (թանկարժեք մետաղներից պատրաստված իրերի՝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հարգորոշման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հարգադրոշմման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մասնագիտացված, այդ թվում՝ մանրածախ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առուվաճառքի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գործունեություններ) կատարված, չափագիտության ոլորտում (գնորդի և վաճառողի, արտադրողի և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իրացնողիմիջև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հաշվարկներում, առողջապահության, շրջակա միջավայրի պահպանության, ճանապարհային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երթևեկության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վերահսկման ժամանակ և այլն) օրենսդրական չափագիտական հսկողության ենթակա (89 տեսակի) չափման միջոցների ստուգումների ընթացքում տեսչական մարմնի կողմից արձակված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կարգադրագրերի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ժամկետների և պահանջների կատարման վերաբերյալ ներկայացված առաջարկությունները, տնտեսվարող սուբյեկտների </w:t>
            </w: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կողմից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կարգադրագրի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պահանջների չկատարման դեպքում վարչության պետին ներկայացնել՝ տնտեսվարող սուբյեկտի ներկայացուցչի նկատմամբ վարչական վարույթ հարուցելու վերաբերյալ համապատասխան իրավական ակտի նախագիծ.</w:t>
            </w:r>
          </w:p>
          <w:p w:rsidR="006E4BF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ուսումնասիրել և ստուգել ոչ պարենային արտադրանքի ոլորտում (խաղալիք,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թեթև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արդյունաբերություն, բենզին, դիզել, հեղուկ գազ, ցեմենտ, ամրան, օծանելիք, կոսմետիկա, լվացող և մաքրող միջոցներ, կենցաղային և սանիտարահիգիենիկ ապրանքներ, ցածրավոլտ և 1000 Վ-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ից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բարձր լարման սարքավորումներ,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ռադիոսարքավորումներ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քսանյութեր, յուղեր, լաքեր, ներկեր, ապակիներ, կահույք, ամանեղեն և այլն), թանկարժեք մետաղների ոլորտում (թանկարժեք մետաղներից պատրաստված իրերի՝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հարգորոշման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հարգադրոշմման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մասնագիտացված, այդ թվում՝ մանրածախ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առուվաճառքի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գործունեություններ) կատարված, չափագիտության ոլորտում (գնորդի և վաճառողի, արտադրողի և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իրացնողիմիջև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հաշվարկներում, առողջապահության, շրջակա միջավայրի պահպանության, ճանապարհային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երթևեկության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վերահսկման ժամանակ և այլն) օրենսդրական չափագիտական հսկողության ենթակա (89 տեսակի) չափման միջոցների ստուգումների արդյունքում արձակված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կարգադրագրի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պահանջները չկատարելու վերաբերյալ ներկայացված համապատասխան նյութերը և դրանց համապատասխանությունը, և ներկայացնել առաջարկություն տնտեսվարող սուբյեկտի ներկայացուցչին վարչական պատասխանատվության ենթարկելու վերաբերյալ, ինչպես նաև հարցը լուծելու վերաբերյալ՝ ուսումնասիրելով վարույթի նյութերը, անհրաժեշտության դեպքում բացատրություններ վերցնելով տնտեսվարող սուբյեկտի ներկայացուցչից</w:t>
            </w: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6E4BF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iCs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տեսչական մարմնի ստուգում իրականացնող ստորաբաժանումների աշխատակիցների կողմից իրականացված ստուգումների ընթացքում </w:t>
            </w:r>
            <w:proofErr w:type="spellStart"/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կազմվելիք</w:t>
            </w:r>
            <w:proofErr w:type="spellEnd"/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ակտերում, նախագծերում, տեղեկանքներում թերություններ հայտնաբերելու դեպքում կազմել եզրակացություն դրանց վերաբերյալ, ինչի հիման վրա առաջարկ ներկայացնել՝ </w:t>
            </w:r>
            <w:proofErr w:type="spellStart"/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>իրավաչափ</w:t>
            </w:r>
            <w:proofErr w:type="spellEnd"/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որոշում կայացնելու վերաբերյալ.</w:t>
            </w:r>
          </w:p>
          <w:p w:rsidR="006D4356" w:rsidRPr="003C6582" w:rsidRDefault="006E4BF6" w:rsidP="003C6582">
            <w:pPr>
              <w:pStyle w:val="BodyText"/>
              <w:numPr>
                <w:ilvl w:val="0"/>
                <w:numId w:val="22"/>
              </w:numPr>
              <w:tabs>
                <w:tab w:val="left" w:pos="0"/>
                <w:tab w:val="left" w:pos="330"/>
              </w:tabs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 w:rsidRPr="003C6582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Ուսումնասիրել դիմումներով կամ պետական մարմիններից ստացված գրություններով տեղեկությունների համապատասխանությունը և  ներկայացնել առաջարկություններ </w:t>
            </w:r>
            <w:r w:rsidRPr="003C658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ֆիզիկական և իրավաբանական անձանց տրված լիցենզիաներն ուժը կորցրած ճանաչելու կամ դրանց գործողությունը կասեցնելու միջնորդագրեր ներկայացնելու վերաբերյալ</w:t>
            </w:r>
            <w:r w:rsidRPr="003C6582"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</w:tc>
      </w:tr>
      <w:tr w:rsidR="00695ABF" w:rsidRPr="003C6582" w:rsidTr="007462F6">
        <w:trPr>
          <w:trHeight w:val="1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3C6582" w:rsidRDefault="00695ABF" w:rsidP="00AA0558">
            <w:pPr>
              <w:spacing w:after="0" w:line="36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Pr="003C6582">
              <w:rPr>
                <w:rFonts w:ascii="Cambria Math" w:eastAsia="MS Mincho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Պաշտոնին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ներկայացվող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պահանջները</w:t>
            </w:r>
          </w:p>
          <w:p w:rsidR="00695ABF" w:rsidRPr="003C6582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3.1.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Կրթություն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որակավորման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  <w:tbl>
            <w:tblPr>
              <w:tblStyle w:val="TableGrid"/>
              <w:tblW w:w="9445" w:type="dxa"/>
              <w:tblLook w:val="04A0" w:firstRow="1" w:lastRow="0" w:firstColumn="1" w:lastColumn="0" w:noHBand="0" w:noVBand="1"/>
            </w:tblPr>
            <w:tblGrid>
              <w:gridCol w:w="778"/>
              <w:gridCol w:w="2693"/>
              <w:gridCol w:w="5974"/>
            </w:tblGrid>
            <w:tr w:rsidR="009B3873" w:rsidRPr="00F63D98" w:rsidTr="001861FD">
              <w:tc>
                <w:tcPr>
                  <w:tcW w:w="778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974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9B3873" w:rsidRPr="00F63D98" w:rsidTr="001861FD">
              <w:tc>
                <w:tcPr>
                  <w:tcW w:w="778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Ոլորտ</w:t>
                  </w:r>
                </w:p>
              </w:tc>
              <w:tc>
                <w:tcPr>
                  <w:tcW w:w="5974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Իրավունք</w:t>
                  </w:r>
                </w:p>
              </w:tc>
            </w:tr>
            <w:tr w:rsidR="009B3873" w:rsidRPr="00F63D98" w:rsidTr="001861FD">
              <w:tc>
                <w:tcPr>
                  <w:tcW w:w="778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proofErr w:type="spellStart"/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Ենթաոլորտ</w:t>
                  </w:r>
                  <w:proofErr w:type="spellEnd"/>
                </w:p>
              </w:tc>
              <w:tc>
                <w:tcPr>
                  <w:tcW w:w="5974" w:type="dxa"/>
                </w:tcPr>
                <w:p w:rsidR="009B3873" w:rsidRPr="003C6582" w:rsidRDefault="009B3873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Իրավունք</w:t>
                  </w:r>
                </w:p>
              </w:tc>
            </w:tr>
            <w:tr w:rsidR="006D4356" w:rsidRPr="00F63D98" w:rsidTr="001861FD">
              <w:tc>
                <w:tcPr>
                  <w:tcW w:w="778" w:type="dxa"/>
                </w:tcPr>
                <w:p w:rsidR="006D4356" w:rsidRPr="003C6582" w:rsidRDefault="006D4356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:rsidR="006D4356" w:rsidRPr="003C6582" w:rsidRDefault="006D4356" w:rsidP="009B3873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3C6582"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974" w:type="dxa"/>
                </w:tcPr>
                <w:p w:rsidR="00F63D98" w:rsidRPr="00F63D98" w:rsidRDefault="00F63D98" w:rsidP="00F63D98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  <w:r w:rsidRPr="00F63D98">
                    <w:rPr>
                      <w:rFonts w:ascii="GHEA Grapalat" w:hAnsi="GHEA Grapalat"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042101.00.6 Իրավագիտություն կամ</w:t>
                  </w:r>
                </w:p>
                <w:p w:rsidR="00F63D98" w:rsidRPr="00F63D98" w:rsidRDefault="00F63D98" w:rsidP="00F63D98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</w:p>
                <w:p w:rsidR="006D4356" w:rsidRPr="003C6582" w:rsidRDefault="00F63D98" w:rsidP="00F63D98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sz w:val="24"/>
                      <w:lang w:val="hy-AM"/>
                    </w:rPr>
                  </w:pPr>
                  <w:r w:rsidRPr="00F63D98">
                    <w:rPr>
                      <w:rFonts w:ascii="GHEA Grapalat" w:hAnsi="GHEA Grapalat"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042101.00.7 Իրավագիտություն</w:t>
                  </w:r>
                  <w:bookmarkStart w:id="0" w:name="_GoBack"/>
                  <w:bookmarkEnd w:id="0"/>
                </w:p>
              </w:tc>
            </w:tr>
          </w:tbl>
          <w:p w:rsidR="009B3873" w:rsidRPr="003C6582" w:rsidRDefault="009B3873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</w:p>
          <w:p w:rsidR="00695ABF" w:rsidRPr="003C6582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3.2.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գիտելիքները</w:t>
            </w:r>
          </w:p>
          <w:p w:rsidR="00695ABF" w:rsidRPr="003C6582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Ունի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գործառույթների իրականացման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համար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անհրաժեշտ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գիտելիքներ</w:t>
            </w:r>
          </w:p>
          <w:p w:rsidR="00695ABF" w:rsidRPr="003C6582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3.3.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ստաժ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:rsidR="00695ABF" w:rsidRPr="003C6582" w:rsidRDefault="00695ABF" w:rsidP="00AA0558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Հանրային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ծառայության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առնվազն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երկու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տարվա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ստաժ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կամ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A34141"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երեք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տարվա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մասնագիտական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աշխատանքային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ստաժ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կամ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FB47CE"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իրավ</w:t>
            </w:r>
            <w:r w:rsidR="00CA233F"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ունքի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բնագավառում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` </w:t>
            </w:r>
            <w:r w:rsidR="00A34141"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երեք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տարվա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աշխատանքային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ստաժ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695ABF" w:rsidRPr="003C6582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3.4. </w:t>
            </w: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proofErr w:type="spellEnd"/>
          </w:p>
          <w:p w:rsidR="00695ABF" w:rsidRPr="003C6582" w:rsidRDefault="00695ABF" w:rsidP="00E512D8">
            <w:pPr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Ընդհանրական</w:t>
            </w:r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proofErr w:type="spellEnd"/>
          </w:p>
          <w:p w:rsidR="00695ABF" w:rsidRPr="003C6582" w:rsidRDefault="00695ABF" w:rsidP="00E512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0" w:hanging="18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Ծրագրերի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695ABF" w:rsidRPr="003C6582" w:rsidRDefault="00695ABF" w:rsidP="00E512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0" w:hanging="18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Խնդրի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լուծում</w:t>
            </w:r>
          </w:p>
          <w:p w:rsidR="00695ABF" w:rsidRPr="003C6582" w:rsidRDefault="00695ABF" w:rsidP="00E512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0" w:hanging="18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Հաշվետվությունների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695ABF" w:rsidRPr="003C6582" w:rsidRDefault="00695ABF" w:rsidP="00AA1D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0" w:hanging="18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Տեղեկատվության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հավաքագրում</w:t>
            </w:r>
            <w:r w:rsidRPr="003C65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, </w:t>
            </w:r>
            <w:r w:rsidRPr="003C658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վերլուծություն</w:t>
            </w:r>
          </w:p>
          <w:p w:rsidR="00695ABF" w:rsidRPr="003C6582" w:rsidRDefault="00695ABF" w:rsidP="00AA1D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0" w:hanging="18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3C6582">
              <w:rPr>
                <w:rFonts w:ascii="GHEA Grapalat" w:eastAsia="Sylfaen" w:hAnsi="GHEA Grapalat" w:cs="Sylfaen"/>
                <w:sz w:val="24"/>
                <w:szCs w:val="24"/>
              </w:rPr>
              <w:t>Բարեվարքություն</w:t>
            </w:r>
            <w:proofErr w:type="spellEnd"/>
          </w:p>
          <w:p w:rsidR="00695ABF" w:rsidRPr="003C6582" w:rsidRDefault="00695ABF" w:rsidP="00AA1D43">
            <w:pPr>
              <w:spacing w:after="0" w:line="240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 w:rsidRPr="003C658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</w:p>
          <w:p w:rsidR="009B3873" w:rsidRPr="003C6582" w:rsidRDefault="009B3873" w:rsidP="009B3873">
            <w:pPr>
              <w:pStyle w:val="NormalWeb"/>
              <w:numPr>
                <w:ilvl w:val="0"/>
                <w:numId w:val="19"/>
              </w:numPr>
              <w:ind w:left="284" w:hanging="284"/>
              <w:rPr>
                <w:rFonts w:ascii="GHEA Grapalat" w:hAnsi="GHEA Grapalat"/>
                <w:color w:val="000000"/>
              </w:rPr>
            </w:pPr>
            <w:proofErr w:type="spellStart"/>
            <w:r w:rsidRPr="003C6582">
              <w:rPr>
                <w:rFonts w:ascii="GHEA Grapalat" w:hAnsi="GHEA Grapalat"/>
                <w:color w:val="000000"/>
              </w:rPr>
              <w:t>Բանակցությունների</w:t>
            </w:r>
            <w:proofErr w:type="spellEnd"/>
            <w:r w:rsidRPr="003C658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</w:rPr>
              <w:t>վարում</w:t>
            </w:r>
            <w:proofErr w:type="spellEnd"/>
          </w:p>
          <w:p w:rsidR="009B3873" w:rsidRPr="003C6582" w:rsidRDefault="009B3873" w:rsidP="009B3873">
            <w:pPr>
              <w:pStyle w:val="NormalWeb"/>
              <w:numPr>
                <w:ilvl w:val="0"/>
                <w:numId w:val="19"/>
              </w:numPr>
              <w:ind w:left="284" w:hanging="284"/>
              <w:rPr>
                <w:rFonts w:ascii="GHEA Grapalat" w:hAnsi="GHEA Grapalat"/>
                <w:color w:val="000000"/>
              </w:rPr>
            </w:pPr>
            <w:proofErr w:type="spellStart"/>
            <w:r w:rsidRPr="003C6582">
              <w:rPr>
                <w:rFonts w:ascii="GHEA Grapalat" w:hAnsi="GHEA Grapalat"/>
                <w:color w:val="000000"/>
              </w:rPr>
              <w:t>Փոփոխությունների</w:t>
            </w:r>
            <w:proofErr w:type="spellEnd"/>
            <w:r w:rsidRPr="003C658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</w:rPr>
              <w:t>կառավարում</w:t>
            </w:r>
            <w:proofErr w:type="spellEnd"/>
          </w:p>
          <w:p w:rsidR="009B3873" w:rsidRPr="003C6582" w:rsidRDefault="009B3873" w:rsidP="009B3873">
            <w:pPr>
              <w:pStyle w:val="NormalWeb"/>
              <w:numPr>
                <w:ilvl w:val="0"/>
                <w:numId w:val="19"/>
              </w:numPr>
              <w:ind w:left="284" w:hanging="284"/>
              <w:rPr>
                <w:rFonts w:ascii="GHEA Grapalat" w:hAnsi="GHEA Grapalat"/>
                <w:color w:val="000000"/>
              </w:rPr>
            </w:pPr>
            <w:proofErr w:type="spellStart"/>
            <w:r w:rsidRPr="003C6582">
              <w:rPr>
                <w:rFonts w:ascii="GHEA Grapalat" w:hAnsi="GHEA Grapalat"/>
                <w:color w:val="000000"/>
              </w:rPr>
              <w:t>Ժամանակի</w:t>
            </w:r>
            <w:proofErr w:type="spellEnd"/>
            <w:r w:rsidRPr="003C658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</w:rPr>
              <w:t>կառավարում</w:t>
            </w:r>
            <w:proofErr w:type="spellEnd"/>
          </w:p>
          <w:p w:rsidR="006414C6" w:rsidRPr="003C6582" w:rsidRDefault="009B3873" w:rsidP="009B3873">
            <w:pPr>
              <w:pStyle w:val="NormalWeb"/>
              <w:numPr>
                <w:ilvl w:val="0"/>
                <w:numId w:val="19"/>
              </w:numPr>
              <w:ind w:left="284" w:hanging="284"/>
              <w:rPr>
                <w:rFonts w:ascii="GHEA Grapalat" w:hAnsi="GHEA Grapalat"/>
                <w:color w:val="000000"/>
              </w:rPr>
            </w:pPr>
            <w:proofErr w:type="spellStart"/>
            <w:r w:rsidRPr="003C6582">
              <w:rPr>
                <w:rFonts w:ascii="GHEA Grapalat" w:hAnsi="GHEA Grapalat"/>
                <w:color w:val="000000"/>
              </w:rPr>
              <w:t>Փաստաթղթերի</w:t>
            </w:r>
            <w:proofErr w:type="spellEnd"/>
            <w:r w:rsidRPr="003C658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</w:rPr>
              <w:t>նախապատրաստում</w:t>
            </w:r>
            <w:proofErr w:type="spellEnd"/>
          </w:p>
        </w:tc>
      </w:tr>
      <w:tr w:rsidR="00695ABF" w:rsidRPr="003C6582" w:rsidTr="007462F6">
        <w:trPr>
          <w:trHeight w:val="1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BF6" w:rsidRPr="003C6582" w:rsidRDefault="006E4BF6" w:rsidP="006E4BF6">
            <w:pPr>
              <w:spacing w:after="0" w:line="360" w:lineRule="auto"/>
              <w:ind w:left="108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Կազմակերպական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շրջանակը</w:t>
            </w:r>
            <w:proofErr w:type="spellEnd"/>
          </w:p>
          <w:p w:rsidR="006E4BF6" w:rsidRPr="003C6582" w:rsidRDefault="006E4BF6" w:rsidP="006E4BF6">
            <w:pPr>
              <w:spacing w:after="0" w:line="240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4.1.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կազմակերպման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ղեկավարման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պատասխանատվությունը</w:t>
            </w:r>
            <w:proofErr w:type="spellEnd"/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բնույթով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անմիջական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։ </w:t>
            </w:r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4.2.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Որոշումներ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կայացնելու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լիազորությունները</w:t>
            </w:r>
            <w:proofErr w:type="spellEnd"/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Կայացնում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աշխատանքների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բնույթով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եզրակացությունների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տրամադրման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ՀՀ օրենսդրությամբ նախատեսված դեպքերում որոշումների կայացման</w:t>
            </w:r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4.3.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Գործունեության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ազդեցությունը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տվյալ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նպատակների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խնդիրների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գերատեսչական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ազդեցություն</w:t>
            </w:r>
            <w:proofErr w:type="spellEnd"/>
            <w:r w:rsidRPr="003C65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4.4.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Շփումները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ներկայացուցչությունը</w:t>
            </w:r>
            <w:proofErr w:type="spellEnd"/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իրավասությունների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շփվում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որպես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ներսում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մասնակցությամբ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ձևավորված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խմբերում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6E4BF6" w:rsidRPr="003C6582" w:rsidRDefault="006E4BF6" w:rsidP="006E4BF6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4.5.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Խնդիրների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բարդությունը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դրանց</w:t>
            </w:r>
            <w:proofErr w:type="spellEnd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Sylfaen" w:hAnsi="GHEA Grapalat" w:cs="Sylfaen"/>
                <w:b/>
                <w:sz w:val="24"/>
                <w:szCs w:val="24"/>
              </w:rPr>
              <w:t>լուծումը</w:t>
            </w:r>
            <w:proofErr w:type="spellEnd"/>
          </w:p>
          <w:p w:rsidR="00695ABF" w:rsidRPr="003C6582" w:rsidRDefault="006E4BF6" w:rsidP="006E4BF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Իր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այդ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տալիս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լուծումներ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մասնակցում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առջև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դրված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լուծմանը</w:t>
            </w:r>
            <w:proofErr w:type="spellEnd"/>
            <w:r w:rsidRPr="003C6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695ABF" w:rsidRPr="003C6582" w:rsidRDefault="00695ABF" w:rsidP="00695ABF">
      <w:pPr>
        <w:spacing w:after="0" w:line="240" w:lineRule="auto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95ABF" w:rsidRPr="003C6582" w:rsidRDefault="00695ABF" w:rsidP="00695ABF">
      <w:pPr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</w:p>
    <w:p w:rsidR="00695ABF" w:rsidRPr="003C6582" w:rsidRDefault="00695ABF" w:rsidP="00695ABF">
      <w:pPr>
        <w:pStyle w:val="BodyText"/>
        <w:ind w:right="-31"/>
        <w:jc w:val="center"/>
        <w:rPr>
          <w:rFonts w:ascii="GHEA Grapalat" w:hAnsi="GHEA Grapalat" w:cs="Sylfaen"/>
          <w:b/>
          <w:bCs/>
          <w:lang w:val="hy-AM"/>
        </w:rPr>
      </w:pPr>
    </w:p>
    <w:p w:rsidR="00080CCC" w:rsidRPr="003C6582" w:rsidRDefault="00080CCC">
      <w:pPr>
        <w:rPr>
          <w:rFonts w:ascii="GHEA Grapalat" w:hAnsi="GHEA Grapalat"/>
          <w:lang w:val="hy-AM"/>
        </w:rPr>
      </w:pPr>
    </w:p>
    <w:sectPr w:rsidR="00080CCC" w:rsidRPr="003C6582" w:rsidSect="00CF158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D02"/>
    <w:multiLevelType w:val="hybridMultilevel"/>
    <w:tmpl w:val="3D2E5C20"/>
    <w:lvl w:ilvl="0" w:tplc="0D526C6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C12C90"/>
    <w:multiLevelType w:val="hybridMultilevel"/>
    <w:tmpl w:val="771CDAEA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184657E1"/>
    <w:multiLevelType w:val="hybridMultilevel"/>
    <w:tmpl w:val="BB149622"/>
    <w:lvl w:ilvl="0" w:tplc="3A8A3E8C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093D"/>
    <w:multiLevelType w:val="multilevel"/>
    <w:tmpl w:val="30348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F02A18"/>
    <w:multiLevelType w:val="multilevel"/>
    <w:tmpl w:val="11C6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E66D75"/>
    <w:multiLevelType w:val="hybridMultilevel"/>
    <w:tmpl w:val="02AE32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D5D5442"/>
    <w:multiLevelType w:val="hybridMultilevel"/>
    <w:tmpl w:val="6EECB14C"/>
    <w:lvl w:ilvl="0" w:tplc="57B8B82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DFC3A9E"/>
    <w:multiLevelType w:val="hybridMultilevel"/>
    <w:tmpl w:val="FFAE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052FA"/>
    <w:multiLevelType w:val="multilevel"/>
    <w:tmpl w:val="101A1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986F54"/>
    <w:multiLevelType w:val="multilevel"/>
    <w:tmpl w:val="70365D3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E71A94"/>
    <w:multiLevelType w:val="multilevel"/>
    <w:tmpl w:val="944A7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ED736B"/>
    <w:multiLevelType w:val="hybridMultilevel"/>
    <w:tmpl w:val="220C8A3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51E179A"/>
    <w:multiLevelType w:val="hybridMultilevel"/>
    <w:tmpl w:val="067AF2CE"/>
    <w:lvl w:ilvl="0" w:tplc="799257E2">
      <w:start w:val="1"/>
      <w:numFmt w:val="decimal"/>
      <w:lvlText w:val="%1."/>
      <w:lvlJc w:val="left"/>
      <w:pPr>
        <w:ind w:left="630" w:hanging="360"/>
      </w:pPr>
      <w:rPr>
        <w:rFonts w:ascii="GHEA Grapalat" w:eastAsiaTheme="minorEastAsia" w:hAnsi="GHEA Grapalat" w:cs="Times Armeni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5A66194"/>
    <w:multiLevelType w:val="hybridMultilevel"/>
    <w:tmpl w:val="78DAD902"/>
    <w:lvl w:ilvl="0" w:tplc="17B8360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4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5416E6"/>
    <w:multiLevelType w:val="hybridMultilevel"/>
    <w:tmpl w:val="F3B2966A"/>
    <w:lvl w:ilvl="0" w:tplc="E2A689F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B516A"/>
    <w:multiLevelType w:val="hybridMultilevel"/>
    <w:tmpl w:val="1C0C5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5C5103"/>
    <w:multiLevelType w:val="hybridMultilevel"/>
    <w:tmpl w:val="3F9EF9C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7A543A08"/>
    <w:multiLevelType w:val="hybridMultilevel"/>
    <w:tmpl w:val="D90EADD8"/>
    <w:lvl w:ilvl="0" w:tplc="374E2FD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7AC815BD"/>
    <w:multiLevelType w:val="hybridMultilevel"/>
    <w:tmpl w:val="4B902EC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DEA54C9"/>
    <w:multiLevelType w:val="multilevel"/>
    <w:tmpl w:val="D9E22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DA4568"/>
    <w:multiLevelType w:val="hybridMultilevel"/>
    <w:tmpl w:val="CACA658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3"/>
  </w:num>
  <w:num w:numId="5">
    <w:abstractNumId w:val="19"/>
  </w:num>
  <w:num w:numId="6">
    <w:abstractNumId w:val="0"/>
  </w:num>
  <w:num w:numId="7">
    <w:abstractNumId w:val="6"/>
  </w:num>
  <w:num w:numId="8">
    <w:abstractNumId w:val="11"/>
  </w:num>
  <w:num w:numId="9">
    <w:abstractNumId w:val="21"/>
  </w:num>
  <w:num w:numId="10">
    <w:abstractNumId w:val="1"/>
  </w:num>
  <w:num w:numId="11">
    <w:abstractNumId w:val="18"/>
  </w:num>
  <w:num w:numId="12">
    <w:abstractNumId w:val="9"/>
  </w:num>
  <w:num w:numId="13">
    <w:abstractNumId w:val="12"/>
  </w:num>
  <w:num w:numId="14">
    <w:abstractNumId w:val="5"/>
  </w:num>
  <w:num w:numId="15">
    <w:abstractNumId w:val="10"/>
  </w:num>
  <w:num w:numId="16">
    <w:abstractNumId w:val="7"/>
  </w:num>
  <w:num w:numId="17">
    <w:abstractNumId w:val="14"/>
  </w:num>
  <w:num w:numId="18">
    <w:abstractNumId w:val="3"/>
  </w:num>
  <w:num w:numId="19">
    <w:abstractNumId w:val="16"/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E"/>
    <w:rsid w:val="0000765B"/>
    <w:rsid w:val="00033BDD"/>
    <w:rsid w:val="00057E36"/>
    <w:rsid w:val="000777F4"/>
    <w:rsid w:val="00080CCC"/>
    <w:rsid w:val="000D2F1B"/>
    <w:rsid w:val="00102063"/>
    <w:rsid w:val="001576CA"/>
    <w:rsid w:val="001F14A7"/>
    <w:rsid w:val="002005D2"/>
    <w:rsid w:val="00201618"/>
    <w:rsid w:val="00245759"/>
    <w:rsid w:val="00257F2D"/>
    <w:rsid w:val="0029584F"/>
    <w:rsid w:val="002C1F26"/>
    <w:rsid w:val="002E13FC"/>
    <w:rsid w:val="00305581"/>
    <w:rsid w:val="003C6582"/>
    <w:rsid w:val="0047239E"/>
    <w:rsid w:val="004A760E"/>
    <w:rsid w:val="004C2E53"/>
    <w:rsid w:val="004C7ECD"/>
    <w:rsid w:val="00554C30"/>
    <w:rsid w:val="005629C3"/>
    <w:rsid w:val="005A27C4"/>
    <w:rsid w:val="005E7E75"/>
    <w:rsid w:val="0062668F"/>
    <w:rsid w:val="006414C6"/>
    <w:rsid w:val="006453AE"/>
    <w:rsid w:val="00695ABF"/>
    <w:rsid w:val="006D4356"/>
    <w:rsid w:val="006E4BF6"/>
    <w:rsid w:val="006F6F5B"/>
    <w:rsid w:val="00743744"/>
    <w:rsid w:val="007462F6"/>
    <w:rsid w:val="00795380"/>
    <w:rsid w:val="007C094F"/>
    <w:rsid w:val="007C2C3D"/>
    <w:rsid w:val="0085485E"/>
    <w:rsid w:val="00866DE2"/>
    <w:rsid w:val="008E4D6D"/>
    <w:rsid w:val="008F67A8"/>
    <w:rsid w:val="009051B0"/>
    <w:rsid w:val="00946EFF"/>
    <w:rsid w:val="009934BF"/>
    <w:rsid w:val="009B3873"/>
    <w:rsid w:val="00A27C40"/>
    <w:rsid w:val="00A34141"/>
    <w:rsid w:val="00A45D72"/>
    <w:rsid w:val="00A955E0"/>
    <w:rsid w:val="00AA1D43"/>
    <w:rsid w:val="00B51AEB"/>
    <w:rsid w:val="00B71B01"/>
    <w:rsid w:val="00BB0ADB"/>
    <w:rsid w:val="00BC70F5"/>
    <w:rsid w:val="00BF62B4"/>
    <w:rsid w:val="00C43532"/>
    <w:rsid w:val="00CA01DE"/>
    <w:rsid w:val="00CA233F"/>
    <w:rsid w:val="00CC6A0A"/>
    <w:rsid w:val="00CF1585"/>
    <w:rsid w:val="00D2328D"/>
    <w:rsid w:val="00D77A0D"/>
    <w:rsid w:val="00DA4203"/>
    <w:rsid w:val="00DA5D7A"/>
    <w:rsid w:val="00DA7903"/>
    <w:rsid w:val="00DF51D5"/>
    <w:rsid w:val="00E4696F"/>
    <w:rsid w:val="00E512D8"/>
    <w:rsid w:val="00EF77FB"/>
    <w:rsid w:val="00F63D98"/>
    <w:rsid w:val="00F91CCD"/>
    <w:rsid w:val="00FA4D7A"/>
    <w:rsid w:val="00FB47CE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4EC9F-FB15-49DA-9935-4F710B53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B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95A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95ABF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5A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5ABF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946EF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5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B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Vardanyan</dc:creator>
  <cp:keywords/>
  <dc:description/>
  <cp:lastModifiedBy>Hermine Gasparyan</cp:lastModifiedBy>
  <cp:revision>87</cp:revision>
  <dcterms:created xsi:type="dcterms:W3CDTF">2019-04-15T07:53:00Z</dcterms:created>
  <dcterms:modified xsi:type="dcterms:W3CDTF">2023-05-08T07:12:00Z</dcterms:modified>
</cp:coreProperties>
</file>