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773F" w14:textId="39F95022" w:rsidR="000E44C9" w:rsidRPr="00B714CC" w:rsidRDefault="000E44C9" w:rsidP="000E44C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</w:rPr>
      </w:pPr>
      <w:r w:rsidRPr="00BC67FA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Հավելված N </w:t>
      </w:r>
      <w:r w:rsidR="00B714CC">
        <w:rPr>
          <w:rFonts w:ascii="GHEA Grapalat" w:eastAsiaTheme="minorEastAsia" w:hAnsi="GHEA Grapalat" w:cs="Sylfaen"/>
          <w:b/>
          <w:i/>
          <w:sz w:val="18"/>
          <w:szCs w:val="18"/>
        </w:rPr>
        <w:t>42</w:t>
      </w:r>
    </w:p>
    <w:p w14:paraId="41B680EE" w14:textId="77777777" w:rsidR="000E44C9" w:rsidRPr="00BC67FA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14:paraId="117D0A86" w14:textId="77777777" w:rsidR="000E44C9" w:rsidRPr="00BC67FA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14:paraId="050964EA" w14:textId="221EFD4E" w:rsidR="000E44C9" w:rsidRDefault="000E44C9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թ. 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>Հունվարի 04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–ի  N</w:t>
      </w:r>
      <w:r w:rsidR="00CC6EB7" w:rsidRPr="00CC6EB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Կ3-Ա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 հրամանով</w:t>
      </w:r>
    </w:p>
    <w:p w14:paraId="19E870B4" w14:textId="77777777" w:rsidR="00CC6EB7" w:rsidRDefault="00CC6EB7" w:rsidP="000E44C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14:paraId="146B5890" w14:textId="2487C025" w:rsidR="0088373E" w:rsidRPr="00DB6380" w:rsidRDefault="00A71DD6" w:rsidP="0088373E">
      <w:pPr>
        <w:spacing w:after="0" w:line="240" w:lineRule="auto"/>
        <w:ind w:right="11"/>
        <w:rPr>
          <w:rFonts w:ascii="GHEA Grapalat" w:hAnsi="GHEA Grapalat"/>
          <w:b/>
          <w:color w:val="FF0000"/>
          <w:sz w:val="24"/>
          <w:szCs w:val="24"/>
          <w:lang w:val="hy-AM"/>
        </w:rPr>
      </w:pPr>
      <w:r>
        <w:rPr>
          <w:rFonts w:ascii="GHEA Grapalat" w:hAnsi="GHEA Grapalat"/>
          <w:b/>
          <w:color w:val="FF0000"/>
          <w:sz w:val="24"/>
          <w:szCs w:val="24"/>
          <w:lang w:val="hy-AM"/>
        </w:rPr>
        <w:t xml:space="preserve">    </w:t>
      </w:r>
      <w:bookmarkStart w:id="0" w:name="_GoBack"/>
      <w:bookmarkEnd w:id="0"/>
    </w:p>
    <w:p w14:paraId="75313871" w14:textId="77777777" w:rsidR="0088373E" w:rsidRDefault="0088373E" w:rsidP="0088373E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ԾԱՌԱՅՈՒԹՅԱՆ ՊԱՇՏՈՆԻ ԱՆՁՆԱԳԻՐ</w:t>
      </w:r>
    </w:p>
    <w:p w14:paraId="7C4F46BA" w14:textId="77777777" w:rsidR="0088373E" w:rsidRDefault="0088373E" w:rsidP="0088373E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 ՆՄՈՒՇԱՌՄԱՆ, ԼԱԲՈՐԱՏՈՐ ՓՈՐՁԱՔՆՆՈՒԹՅՈՒՆՆԵՐԻ ԵՎ ՉԱՓՈՒՄՆԵՐԻ ԻՐԱԿԱՆԱՑՄԱՆ ՎԱՐՉՈՒԹՅԱՆ ԳԼԽԱՎՈՐ ՄԱՍՆԱԳԵՏ</w:t>
      </w:r>
    </w:p>
    <w:p w14:paraId="08593B32" w14:textId="77777777" w:rsidR="0088373E" w:rsidRDefault="0088373E" w:rsidP="0088373E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8373E" w14:paraId="62E41652" w14:textId="77777777" w:rsidTr="0088373E">
        <w:trPr>
          <w:trHeight w:val="2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96BF" w14:textId="77777777" w:rsidR="0088373E" w:rsidRDefault="0088373E" w:rsidP="002827E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Ընդհանուր դրույթներ</w:t>
            </w:r>
          </w:p>
        </w:tc>
      </w:tr>
      <w:tr w:rsidR="0088373E" w:rsidRPr="00A71DD6" w14:paraId="1C7D0940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812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անվանումը, ծածկագիրը</w:t>
            </w:r>
          </w:p>
          <w:p w14:paraId="22C3240A" w14:textId="77777777" w:rsidR="0088373E" w:rsidRDefault="008837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նմուշառման, լաբորատոր փորձաքննությունների և չափումների իրականացման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2F46D2" w:rsidRPr="002F46D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վարչության</w:t>
            </w:r>
            <w:r w:rsidR="002F46D2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(այսուհետ՝ Վարչություն) գլխավոր մասնագետ (ծածկագիրը` 69-27.4.2-Մ2-1):</w:t>
            </w:r>
          </w:p>
          <w:p w14:paraId="334A63E2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Ենթակա և հաշվետու է </w:t>
            </w:r>
          </w:p>
          <w:p w14:paraId="47E69D2F" w14:textId="4BF89563" w:rsidR="0088373E" w:rsidRDefault="0088373E">
            <w:pPr>
              <w:pStyle w:val="ListParagraph"/>
              <w:spacing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Գլխավոր մասնագետն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անմիջա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կան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ենթակա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հաշվետու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է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2F46D2"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արչության պետին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:</w:t>
            </w:r>
          </w:p>
          <w:p w14:paraId="7528E3DF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Փոխարինող պաշտոնի կամ պաշտոնների անվանումները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`</w:t>
            </w:r>
          </w:p>
          <w:p w14:paraId="3CBACD03" w14:textId="6939AB4C" w:rsidR="0088373E" w:rsidRDefault="0088373E">
            <w:pPr>
              <w:pStyle w:val="ListParagraph"/>
              <w:spacing w:after="0" w:line="240" w:lineRule="auto"/>
              <w:ind w:left="360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Գլխավոր մասնագետի բացակայության դեպքում նրան փոխարինում է Վարչության  գլխավոր մասնագետ</w:t>
            </w:r>
            <w:r w:rsidR="002F46D2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ներից մեկը</w:t>
            </w: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:</w:t>
            </w:r>
          </w:p>
          <w:p w14:paraId="6557AE40" w14:textId="77777777" w:rsidR="0088373E" w:rsidRDefault="0088373E" w:rsidP="002827E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Աշխատավայրը</w:t>
            </w:r>
          </w:p>
          <w:p w14:paraId="6886F54A" w14:textId="20A555FB" w:rsidR="0088373E" w:rsidRDefault="0088373E" w:rsidP="00114447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Հայաստան,</w:t>
            </w:r>
            <w:r>
              <w:rPr>
                <w:rFonts w:ascii="GHEA Grapalat" w:hAnsi="GHEA Grapalat" w:cs="Arial"/>
                <w:i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ք. Երևան, Արաբկիր վարչական շրջան, Կոմիտասի 49/2:</w:t>
            </w:r>
          </w:p>
        </w:tc>
      </w:tr>
      <w:tr w:rsidR="0088373E" w:rsidRPr="00A71DD6" w14:paraId="673F61A0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F46" w14:textId="7BB2D595" w:rsidR="0088373E" w:rsidRDefault="000E44C9" w:rsidP="000E44C9">
            <w:pPr>
              <w:pStyle w:val="ListParagraph"/>
              <w:spacing w:after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2.</w:t>
            </w:r>
            <w:r w:rsidR="0088373E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2AC8CDCC" w14:textId="09D0DF5E" w:rsidR="0088373E" w:rsidRDefault="0088373E" w:rsidP="00777CA9">
            <w:pPr>
              <w:pStyle w:val="ListParagraph"/>
              <w:numPr>
                <w:ilvl w:val="1"/>
                <w:numId w:val="23"/>
              </w:numPr>
              <w:spacing w:after="0"/>
              <w:jc w:val="center"/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  <w:t>Աշխատանքի բնույթը, իրավունքները, պարտականությունները</w:t>
            </w:r>
          </w:p>
          <w:p w14:paraId="748BDBE1" w14:textId="2F96DD74" w:rsidR="00CE668B" w:rsidRPr="00CE668B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իրականացնում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է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տնտեսվարող սուբյեկտի կողմից շուկայահանված՝ ոչ պարենային արտադրանքի</w:t>
            </w:r>
            <w:r w:rsid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և արտադրական կանեփի նմուշառում</w:t>
            </w:r>
            <w:r w:rsidR="00CE668B"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>:</w:t>
            </w:r>
          </w:p>
          <w:p w14:paraId="347F3F99" w14:textId="77777777" w:rsidR="0088373E" w:rsidRPr="00CE668B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համար նմուշների ծածկագրում, դրոշմակնքում կամ կապարակնքում և նմուշառման ակտի  կազմում:</w:t>
            </w:r>
          </w:p>
          <w:p w14:paraId="10B7A9FA" w14:textId="77777777" w:rsidR="0088373E" w:rsidRDefault="0088373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ընտրված նմուշները պահման ու փոխադրման ժամանակ նմուշները փոփոխությունից պաշտպանող նյութերից պատրաստված համապատասխան գործիքներով և տարաներով փաթեթավորման, նմուշների ծածկագրման դրոշմակնիքման կամ կապարակնքման  աշխատանքներ</w:t>
            </w:r>
            <w:r w:rsidR="002F46D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FBDD4A7" w14:textId="3B23F553" w:rsidR="00F22CC9" w:rsidRPr="00D047CC" w:rsidRDefault="0088373E" w:rsidP="00D047C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նպատակով ընտրված նմուշների փորձ</w:t>
            </w:r>
            <w:r w:rsidR="00FC439E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արկման լաբորատորիա ներկայացմ</w:t>
            </w:r>
            <w:r w:rsidR="002F46D2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ան աշխատանքները</w:t>
            </w:r>
            <w:r w:rsidR="00CE668B"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:</w:t>
            </w:r>
          </w:p>
          <w:p w14:paraId="45905444" w14:textId="77777777" w:rsidR="00F22CC9" w:rsidRPr="00F22CC9" w:rsidRDefault="00DC3C8E" w:rsidP="00F22C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իրականացնում</w:t>
            </w:r>
            <w:r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 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ստուգաչափված կամ վկայագրված չափման միջոցների համապատասխանությ</w:t>
            </w:r>
            <w:r w:rsidR="00702E2F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702E2F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ստուգումը</w:t>
            </w:r>
            <w:r w:rsidR="005573D1"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չափագիտական կանոններին ու նորմերին:</w:t>
            </w:r>
          </w:p>
          <w:p w14:paraId="731CF276" w14:textId="5DB277F2" w:rsidR="0088373E" w:rsidRPr="00F9776F" w:rsidRDefault="002F46D2" w:rsidP="00F9776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մասնակցում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 է վարչության առջև դրված գործառույթներից և խնդիրներից բխող իրավական ակտերի նախագծերի, առաջարկությունների, եզրակացությունների, 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lastRenderedPageBreak/>
              <w:t>այլ փաստաթղթերի նախապատրաստմ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ան</w:t>
            </w:r>
            <w:r w:rsidR="0088373E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, ինպես նաև դրանց վերաբերյալ մեթոդական պարզաբանո</w:t>
            </w:r>
            <w:r w:rsidR="00876671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ւմների և ուղեցույցների մշակմ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ան աշխատանքներին</w:t>
            </w:r>
            <w:r w:rsidR="00876671"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>:</w:t>
            </w:r>
          </w:p>
          <w:p w14:paraId="3C4C6382" w14:textId="77777777" w:rsidR="00FA41DF" w:rsidRDefault="00FA41DF" w:rsidP="00FA41DF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31C69B1D" w14:textId="45B7B983" w:rsidR="009B7C7C" w:rsidRPr="00845266" w:rsidRDefault="00777CA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եսչական մարմնի կառուցվածքային ստորաբաժանումներից, այլ մարմիններից, պաշտոնատար անձանցից</w:t>
            </w:r>
            <w:r w:rsidR="009B7C7C"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պետական համապատասխան մարմիններից </w:t>
            </w:r>
            <w:r w:rsidR="009B7C7C" w:rsidRPr="00024B37">
              <w:rPr>
                <w:rFonts w:ascii="GHEA Grapalat" w:hAnsi="GHEA Grapalat" w:cs="Courier New"/>
                <w:sz w:val="24"/>
                <w:szCs w:val="24"/>
                <w:lang w:val="hy-AM"/>
              </w:rPr>
              <w:t>ստանալ</w:t>
            </w:r>
            <w:r w:rsidR="009B7C7C" w:rsidRPr="00024B37">
              <w:rPr>
                <w:rFonts w:ascii="Sylfaen" w:hAnsi="Sylfaen" w:cs="Courier New"/>
                <w:sz w:val="24"/>
                <w:szCs w:val="24"/>
                <w:lang w:val="hy-AM"/>
              </w:rPr>
              <w:t xml:space="preserve"> </w:t>
            </w:r>
            <w:r w:rsidR="009B7C7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="009B7C7C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2B396CEC" w14:textId="77777777" w:rsidR="009B7C7C" w:rsidRPr="00845266" w:rsidRDefault="009B7C7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իրականացման ընթացքում լրացուցիչ հարցերի պարզաբանման նպատակով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գիտական հաստատությունների ներկայացուցիչներ ներգրավելու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գործառույթներին առնչվող առանձին հարցերի պարզաբանման նպատակով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551454DA" w14:textId="334BB7C9" w:rsidR="009B7C7C" w:rsidRPr="00845266" w:rsidRDefault="000E44C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B7C7C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նտեսվաորղ սուբյեկտներին</w:t>
            </w:r>
            <w:r w:rsidR="009B7C7C"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նմուշառման իրականացման համար անհրաժեշտ և անվտանգ պայմաններ ապահովելու պահանջներ</w:t>
            </w:r>
            <w:r w:rsidR="009B7C7C"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0808151A" w14:textId="487A0C5F" w:rsidR="009B7C7C" w:rsidRPr="000E44C9" w:rsidRDefault="009B7C7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վերահսկվող տնտեսվարող սուբյեկտներից 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D627A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համար անհրաժեշտ տեղեկատվություն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14:paraId="4F1EA82D" w14:textId="745D7717" w:rsidR="002D7DB9" w:rsidRPr="000E44C9" w:rsidRDefault="000E44C9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2D7DB9"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տարածք:</w:t>
            </w:r>
          </w:p>
          <w:p w14:paraId="57CEE256" w14:textId="77777777" w:rsidR="009B7C7C" w:rsidRPr="00E27DF3" w:rsidRDefault="009B7C7C" w:rsidP="009B7C7C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6CDE16C" w14:textId="77777777" w:rsidR="009B7C7C" w:rsidRDefault="009B7C7C" w:rsidP="009B7C7C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14:paraId="35C64428" w14:textId="280C4CE2" w:rsidR="00D627AC" w:rsidRPr="00F22CC9" w:rsidRDefault="00D627AC" w:rsidP="00D627AC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2CC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պատրաստել </w:t>
            </w:r>
            <w:r w:rsidR="00DB69E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 գրություններ.</w:t>
            </w:r>
          </w:p>
          <w:p w14:paraId="6ED93C54" w14:textId="620DBC8E" w:rsidR="00E9088A" w:rsidRPr="00D627AC" w:rsidRDefault="00D627AC" w:rsidP="00D627AC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պ</w:t>
            </w:r>
            <w:r w:rsidR="00E9088A" w:rsidRPr="00D627A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ահպանել նմուշառման և նմուշների  տեղափոխման կարգը</w:t>
            </w:r>
            <w:r w:rsidR="00E9088A" w:rsidRPr="00D627A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27C51C6E" w14:textId="33BF75E4" w:rsidR="00D627AC" w:rsidRDefault="00D627AC" w:rsidP="00D627AC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կ</w:t>
            </w:r>
            <w:r w:rsidR="00E9088A" w:rsidRPr="00E9088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ազմել նմուշառման ակտ՝ նմուշառման ավարտից հետո սահմանված կարգով</w:t>
            </w:r>
            <w:r w:rsidR="00E9088A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,</w:t>
            </w:r>
          </w:p>
          <w:p w14:paraId="06A57FE5" w14:textId="261A258F" w:rsidR="00E73D23" w:rsidRDefault="000E44C9" w:rsidP="00E73D23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/>
                <w:sz w:val="24"/>
                <w:szCs w:val="24"/>
                <w:lang w:val="hy-AM"/>
              </w:rPr>
              <w:t>նմուշառման</w:t>
            </w:r>
            <w:r w:rsidR="00F9776F" w:rsidRPr="00F977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/>
                <w:sz w:val="24"/>
                <w:szCs w:val="24"/>
                <w:lang w:val="hy-AM"/>
              </w:rPr>
              <w:t>և չափումների իրականացման</w:t>
            </w:r>
            <w:r w:rsidR="002D7DB9" w:rsidRPr="00C95CE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</w:t>
            </w:r>
            <w:r w:rsid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դրանք 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777CA9">
              <w:rPr>
                <w:rFonts w:ascii="GHEA Grapalat" w:hAnsi="GHEA Grapalat" w:cs="Sylfaen"/>
                <w:sz w:val="24"/>
                <w:szCs w:val="24"/>
                <w:lang w:val="af-ZA"/>
              </w:rPr>
              <w:t>ու</w:t>
            </w:r>
            <w:r w:rsidR="002D7DB9"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առաջարկություններով ներկայացնել Վարչության պետին</w:t>
            </w:r>
            <w:r w:rsidR="00F9776F" w:rsidRPr="00F9776F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կազմել հաշվետվություն</w:t>
            </w:r>
            <w:r w:rsid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12371C25" w14:textId="473CE838" w:rsidR="00E73D23" w:rsidRPr="00E73D23" w:rsidRDefault="00E73D23" w:rsidP="00E73D23">
            <w:pPr>
              <w:numPr>
                <w:ilvl w:val="0"/>
                <w:numId w:val="17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3D2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գրություններ.</w:t>
            </w:r>
          </w:p>
        </w:tc>
      </w:tr>
      <w:tr w:rsidR="0088373E" w14:paraId="2B2AEC3A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B15" w14:textId="77777777" w:rsidR="0088373E" w:rsidRDefault="0088373E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 Պաշտոնին ներկայացվող պահանջներ</w:t>
            </w:r>
          </w:p>
          <w:p w14:paraId="2AC8B3F2" w14:textId="74C49538" w:rsidR="0088373E" w:rsidRDefault="000A6C5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="0088373E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.1 Կրթություն, որակավորման աստիճանը</w:t>
            </w:r>
          </w:p>
          <w:p w14:paraId="349D84A6" w14:textId="04148910" w:rsidR="003658E5" w:rsidRPr="003658E5" w:rsidRDefault="003658E5">
            <w:pPr>
              <w:spacing w:after="0" w:line="276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3658E5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1416D3CD" w14:textId="59CCF915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3.2 Մասնագիտական գիտելիքները</w:t>
            </w:r>
          </w:p>
          <w:p w14:paraId="4AC81C3D" w14:textId="77777777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Ունի գործառույթների իրականացման համար անհրաժեշտ գիտելիքներ</w:t>
            </w:r>
          </w:p>
          <w:p w14:paraId="79F035E9" w14:textId="77777777" w:rsidR="0088373E" w:rsidRDefault="0088373E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փորձը</w:t>
            </w:r>
          </w:p>
          <w:p w14:paraId="0F511F1D" w14:textId="6F39BF39" w:rsidR="009203E4" w:rsidRPr="007B1EE8" w:rsidRDefault="0088373E" w:rsidP="007B1EE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>Հանրային ծառայության առնվազն երկու տարվա ստաժ կամ երեք տարվա</w:t>
            </w:r>
            <w:r w:rsidR="00FF078D"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 xml:space="preserve"> մասնագիտական աշխատանքային ստաժ </w:t>
            </w:r>
            <w:r w:rsidR="007B1EE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կամ </w:t>
            </w:r>
            <w:r w:rsidR="00EF6F7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ճարտարագիտության բնագավառում</w:t>
            </w:r>
            <w:r w:rsidR="00F9776F"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քիմիկոս-ճարտարագետի կամ ֆիզիկայի բնագավառում</w:t>
            </w:r>
            <w:r w:rsidR="00F9776F"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ֆիզիկոսի, </w:t>
            </w:r>
            <w:r w:rsidR="00D627A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քիմիկոսի </w:t>
            </w:r>
            <w:r w:rsidR="00844FB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և հարակից մասնագետի </w:t>
            </w:r>
            <w:r w:rsidR="00844FB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B1EE8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7B1EE8"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7B1EE8"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36234B91" w14:textId="77777777" w:rsidR="0088373E" w:rsidRDefault="0088373E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  Անհրաժեշտ կոմպետենցիաներ`</w:t>
            </w:r>
          </w:p>
          <w:p w14:paraId="0316BDB7" w14:textId="77777777" w:rsidR="0088373E" w:rsidRDefault="0088373E">
            <w:pPr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1A78C643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Ծրագրերի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14:paraId="265AB556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Խնդրի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լուծում</w:t>
            </w:r>
          </w:p>
          <w:p w14:paraId="00EB692E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Հաշվետվությունների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14:paraId="622EC162" w14:textId="77777777" w:rsidR="0088373E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Տեղեկատվության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հավաքագրում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,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վերլուծություն</w:t>
            </w:r>
          </w:p>
          <w:p w14:paraId="36BDA4DF" w14:textId="77777777" w:rsidR="0088373E" w:rsidRPr="00170C5D" w:rsidRDefault="0088373E" w:rsidP="00E269B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Բարեվարքություն</w:t>
            </w:r>
            <w:proofErr w:type="spellEnd"/>
          </w:p>
          <w:p w14:paraId="246ABCE8" w14:textId="77777777" w:rsidR="0088373E" w:rsidRPr="009D2325" w:rsidRDefault="0088373E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D2325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2DDDC51B" w14:textId="77777777" w:rsidR="0088373E" w:rsidRPr="009D2325" w:rsidRDefault="0088373E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Կոնֆլիկտների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կառավարում</w:t>
            </w:r>
            <w:proofErr w:type="spellEnd"/>
          </w:p>
          <w:p w14:paraId="3251526A" w14:textId="77777777" w:rsidR="0088373E" w:rsidRPr="009D2325" w:rsidRDefault="0088373E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Փաստաթղթերի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նախապատրաստում</w:t>
            </w:r>
            <w:proofErr w:type="spellEnd"/>
          </w:p>
          <w:p w14:paraId="2E49391C" w14:textId="77777777" w:rsidR="00E269BD" w:rsidRPr="009D2325" w:rsidRDefault="00E269BD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Բանակցությունների վարում</w:t>
            </w:r>
          </w:p>
          <w:p w14:paraId="2FDF78D2" w14:textId="4A20B792" w:rsidR="00E269BD" w:rsidRPr="000A59D3" w:rsidRDefault="00E269BD" w:rsidP="00E269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</w:tc>
      </w:tr>
      <w:tr w:rsidR="0088373E" w14:paraId="1142E868" w14:textId="77777777" w:rsidTr="0088373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20A" w14:textId="77777777" w:rsidR="0088373E" w:rsidRDefault="0088373E">
            <w:pPr>
              <w:spacing w:after="0" w:line="276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9776F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4CB352B9" w14:textId="77777777" w:rsidR="0088373E" w:rsidRDefault="0088373E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16795BED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բնույթով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պայմանավորված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։ </w:t>
            </w:r>
          </w:p>
          <w:p w14:paraId="48C848F9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46A442F0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317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A8B9CB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31EC7AF6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5835FD84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2A4B9C1A" w14:textId="77777777" w:rsidR="0088373E" w:rsidRDefault="0088373E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որպես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ներսում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ձևավորված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խմբերում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14:paraId="31B0618B" w14:textId="77777777" w:rsidR="0088373E" w:rsidRDefault="0088373E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569AF201" w14:textId="77777777" w:rsidR="0088373E" w:rsidRDefault="0088373E" w:rsidP="00D627AC">
            <w:pPr>
              <w:spacing w:after="0" w:line="276" w:lineRule="auto"/>
              <w:jc w:val="both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բացահայտում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lastRenderedPageBreak/>
              <w:t>այդ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լուծումներ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լուծմանը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14:paraId="4EDAA1AA" w14:textId="77777777" w:rsidR="0088373E" w:rsidRDefault="0088373E" w:rsidP="008837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14:paraId="3478E654" w14:textId="77777777" w:rsidR="000329C3" w:rsidRDefault="000329C3"/>
    <w:sectPr w:rsidR="000329C3" w:rsidSect="00B714CC">
      <w:pgSz w:w="11906" w:h="16838"/>
      <w:pgMar w:top="81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A4E"/>
    <w:multiLevelType w:val="hybridMultilevel"/>
    <w:tmpl w:val="805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C15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 w15:restartNumberingAfterBreak="0">
    <w:nsid w:val="0B9466A2"/>
    <w:multiLevelType w:val="hybridMultilevel"/>
    <w:tmpl w:val="2EB2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14B04E68"/>
    <w:multiLevelType w:val="multilevel"/>
    <w:tmpl w:val="A8E0245E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5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5384"/>
    <w:multiLevelType w:val="hybridMultilevel"/>
    <w:tmpl w:val="BB86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373D"/>
    <w:multiLevelType w:val="multilevel"/>
    <w:tmpl w:val="D0DC4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33976A44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9" w15:restartNumberingAfterBreak="0">
    <w:nsid w:val="352872E7"/>
    <w:multiLevelType w:val="hybridMultilevel"/>
    <w:tmpl w:val="0C6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952BD"/>
    <w:multiLevelType w:val="hybridMultilevel"/>
    <w:tmpl w:val="A04CEE2E"/>
    <w:lvl w:ilvl="0" w:tplc="E234773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327962"/>
    <w:multiLevelType w:val="multilevel"/>
    <w:tmpl w:val="9F8C4D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A137FE2"/>
    <w:multiLevelType w:val="multilevel"/>
    <w:tmpl w:val="8E0623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4F0B1E50"/>
    <w:multiLevelType w:val="hybridMultilevel"/>
    <w:tmpl w:val="ACCE106E"/>
    <w:lvl w:ilvl="0" w:tplc="3E2EC29E">
      <w:start w:val="1"/>
      <w:numFmt w:val="decimal"/>
      <w:lvlText w:val="%1)"/>
      <w:lvlJc w:val="left"/>
      <w:pPr>
        <w:ind w:left="719" w:hanging="435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100535"/>
    <w:multiLevelType w:val="hybridMultilevel"/>
    <w:tmpl w:val="0510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1055"/>
    <w:multiLevelType w:val="hybridMultilevel"/>
    <w:tmpl w:val="76F6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22D"/>
    <w:multiLevelType w:val="hybridMultilevel"/>
    <w:tmpl w:val="D0C6FB56"/>
    <w:lvl w:ilvl="0" w:tplc="D726787C">
      <w:start w:val="1"/>
      <w:numFmt w:val="decimal"/>
      <w:lvlText w:val="%1."/>
      <w:lvlJc w:val="left"/>
      <w:pPr>
        <w:ind w:left="4770" w:hanging="360"/>
      </w:pPr>
      <w:rPr>
        <w:rFonts w:ascii="GHEA Grapalat" w:eastAsia="Calibri" w:hAnsi="GHEA Grapalat" w:cs="Times Armenian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7BC57C0F"/>
    <w:multiLevelType w:val="multilevel"/>
    <w:tmpl w:val="9372239C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Arial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7A"/>
    <w:rsid w:val="00005902"/>
    <w:rsid w:val="00013175"/>
    <w:rsid w:val="000329C3"/>
    <w:rsid w:val="0004747A"/>
    <w:rsid w:val="000A59D3"/>
    <w:rsid w:val="000A6C5E"/>
    <w:rsid w:val="000B27AE"/>
    <w:rsid w:val="000C6000"/>
    <w:rsid w:val="000E44C9"/>
    <w:rsid w:val="000E6D93"/>
    <w:rsid w:val="001113C5"/>
    <w:rsid w:val="00114447"/>
    <w:rsid w:val="001664F1"/>
    <w:rsid w:val="00170C5D"/>
    <w:rsid w:val="001741F3"/>
    <w:rsid w:val="001A5D4E"/>
    <w:rsid w:val="001E12E9"/>
    <w:rsid w:val="001E6E01"/>
    <w:rsid w:val="002012E7"/>
    <w:rsid w:val="002178A2"/>
    <w:rsid w:val="00241EE7"/>
    <w:rsid w:val="002617F9"/>
    <w:rsid w:val="002D07E4"/>
    <w:rsid w:val="002D7DB9"/>
    <w:rsid w:val="002E416F"/>
    <w:rsid w:val="002F46D2"/>
    <w:rsid w:val="00310EDC"/>
    <w:rsid w:val="00336FAC"/>
    <w:rsid w:val="00346F43"/>
    <w:rsid w:val="003568B4"/>
    <w:rsid w:val="003604A1"/>
    <w:rsid w:val="003658E5"/>
    <w:rsid w:val="00372A4C"/>
    <w:rsid w:val="00377E1F"/>
    <w:rsid w:val="003830F4"/>
    <w:rsid w:val="003B53D4"/>
    <w:rsid w:val="00443DF5"/>
    <w:rsid w:val="00492AF2"/>
    <w:rsid w:val="00495B74"/>
    <w:rsid w:val="004E13DF"/>
    <w:rsid w:val="005573D1"/>
    <w:rsid w:val="005669D9"/>
    <w:rsid w:val="00574799"/>
    <w:rsid w:val="00594E9B"/>
    <w:rsid w:val="005A08C1"/>
    <w:rsid w:val="005C6664"/>
    <w:rsid w:val="005D7A11"/>
    <w:rsid w:val="005E15BD"/>
    <w:rsid w:val="005F158C"/>
    <w:rsid w:val="00602E92"/>
    <w:rsid w:val="00642760"/>
    <w:rsid w:val="0068353B"/>
    <w:rsid w:val="006D4223"/>
    <w:rsid w:val="00702E2F"/>
    <w:rsid w:val="007238EC"/>
    <w:rsid w:val="00765B03"/>
    <w:rsid w:val="00777CA9"/>
    <w:rsid w:val="007B1EE8"/>
    <w:rsid w:val="007D1D50"/>
    <w:rsid w:val="007F104D"/>
    <w:rsid w:val="008163AB"/>
    <w:rsid w:val="00844FBC"/>
    <w:rsid w:val="00862445"/>
    <w:rsid w:val="00876671"/>
    <w:rsid w:val="0088373E"/>
    <w:rsid w:val="00900C8E"/>
    <w:rsid w:val="009203E4"/>
    <w:rsid w:val="00956C31"/>
    <w:rsid w:val="00987BFD"/>
    <w:rsid w:val="009B7C7C"/>
    <w:rsid w:val="009C41E6"/>
    <w:rsid w:val="009C6818"/>
    <w:rsid w:val="009D2325"/>
    <w:rsid w:val="009F777F"/>
    <w:rsid w:val="00A71DD6"/>
    <w:rsid w:val="00B714CC"/>
    <w:rsid w:val="00C00155"/>
    <w:rsid w:val="00C95CED"/>
    <w:rsid w:val="00C97AAB"/>
    <w:rsid w:val="00CC6EB7"/>
    <w:rsid w:val="00CE668B"/>
    <w:rsid w:val="00D047CC"/>
    <w:rsid w:val="00D548C0"/>
    <w:rsid w:val="00D627AC"/>
    <w:rsid w:val="00D77884"/>
    <w:rsid w:val="00DB6380"/>
    <w:rsid w:val="00DB69E0"/>
    <w:rsid w:val="00DC3C8E"/>
    <w:rsid w:val="00DD1B31"/>
    <w:rsid w:val="00DD72B0"/>
    <w:rsid w:val="00E125F0"/>
    <w:rsid w:val="00E134EE"/>
    <w:rsid w:val="00E269BD"/>
    <w:rsid w:val="00E73D23"/>
    <w:rsid w:val="00E9088A"/>
    <w:rsid w:val="00EF6F7A"/>
    <w:rsid w:val="00F22CC9"/>
    <w:rsid w:val="00F9776F"/>
    <w:rsid w:val="00FA41DF"/>
    <w:rsid w:val="00FA4802"/>
    <w:rsid w:val="00FC439E"/>
    <w:rsid w:val="00FE017C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7458"/>
  <w15:docId w15:val="{72A7A07B-6614-4C96-B3E7-8FD9847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3E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8373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73E"/>
    <w:rPr>
      <w:lang w:val="en-US"/>
    </w:rPr>
  </w:style>
  <w:style w:type="paragraph" w:styleId="NoSpacing">
    <w:name w:val="No Spacing"/>
    <w:uiPriority w:val="1"/>
    <w:qFormat/>
    <w:rsid w:val="0088373E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8373E"/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8373E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F4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6D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6D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D2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0B2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B27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4DAC-2D59-408F-A3B9-2821C0FF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Hermine Gasparyan</cp:lastModifiedBy>
  <cp:revision>2</cp:revision>
  <cp:lastPrinted>2021-11-12T11:01:00Z</cp:lastPrinted>
  <dcterms:created xsi:type="dcterms:W3CDTF">2023-01-12T06:09:00Z</dcterms:created>
  <dcterms:modified xsi:type="dcterms:W3CDTF">2023-01-12T06:09:00Z</dcterms:modified>
</cp:coreProperties>
</file>